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E2" w:rsidRPr="00CD7775" w:rsidRDefault="000B3BE2" w:rsidP="000B3BE2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  <w:r w:rsidRPr="00CD7775">
        <w:rPr>
          <w:bCs/>
          <w:color w:val="auto"/>
        </w:rPr>
        <w:t>Załącznik nr 2 do umowy nr WI-R-K.7011.10.2024</w:t>
      </w:r>
    </w:p>
    <w:p w:rsidR="000B3BE2" w:rsidRPr="00CD7775" w:rsidRDefault="000B3BE2" w:rsidP="000B3BE2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242" w:lineRule="auto"/>
        <w:jc w:val="both"/>
        <w:rPr>
          <w:b/>
          <w:color w:val="auto"/>
        </w:rPr>
      </w:pPr>
      <w:r w:rsidRPr="00CD7775">
        <w:rPr>
          <w:b/>
          <w:color w:val="auto"/>
        </w:rPr>
        <w:t>Tabela Opracowań Projektowych „TOP”</w:t>
      </w:r>
    </w:p>
    <w:p w:rsidR="000B3BE2" w:rsidRPr="00CD7775" w:rsidRDefault="000B3BE2" w:rsidP="000B3BE2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93"/>
        <w:gridCol w:w="696"/>
        <w:gridCol w:w="1683"/>
        <w:gridCol w:w="1227"/>
        <w:gridCol w:w="1066"/>
        <w:gridCol w:w="1227"/>
      </w:tblGrid>
      <w:tr w:rsidR="000B3BE2" w:rsidRPr="00CD7775" w:rsidTr="00061C70"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bookmarkStart w:id="0" w:name="_Hlk175224399"/>
            <w:r w:rsidRPr="00CD7775">
              <w:rPr>
                <w:b/>
                <w:color w:val="auto"/>
              </w:rPr>
              <w:t>Lp.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Elementy opracowań projektowych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Ilość egz.</w:t>
            </w:r>
          </w:p>
        </w:tc>
        <w:tc>
          <w:tcPr>
            <w:tcW w:w="168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Termin wykonania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Wartość umowna netto</w:t>
            </w: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Vat</w:t>
            </w: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Wartość umowna brutto</w:t>
            </w:r>
          </w:p>
        </w:tc>
      </w:tr>
      <w:tr w:rsidR="000B3BE2" w:rsidRPr="00CD7775" w:rsidTr="00061C70"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68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7</w:t>
            </w: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>Opracowanie opinii geotechnicznej badań gruntu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 egz.</w:t>
            </w:r>
          </w:p>
        </w:tc>
        <w:tc>
          <w:tcPr>
            <w:tcW w:w="1683" w:type="dxa"/>
            <w:vMerge w:val="restart"/>
            <w:vAlign w:val="center"/>
          </w:tcPr>
          <w:p w:rsidR="000B3BE2" w:rsidRPr="00CD7775" w:rsidRDefault="000B3BE2" w:rsidP="00061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75">
              <w:rPr>
                <w:rFonts w:ascii="Times New Roman" w:hAnsi="Times New Roman"/>
                <w:b/>
                <w:sz w:val="20"/>
                <w:szCs w:val="20"/>
              </w:rPr>
              <w:t xml:space="preserve">do 15 dni </w:t>
            </w:r>
            <w:r w:rsidRPr="00CD7775">
              <w:rPr>
                <w:rFonts w:ascii="Times New Roman" w:hAnsi="Times New Roman"/>
                <w:sz w:val="20"/>
                <w:szCs w:val="20"/>
              </w:rPr>
              <w:t xml:space="preserve">  od dnia zawarcia umowy</w:t>
            </w:r>
          </w:p>
          <w:p w:rsidR="000B3BE2" w:rsidRPr="00CD7775" w:rsidRDefault="000B3BE2" w:rsidP="00061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Opracowanie wniosków z  załącznikami w celu   uzyskania w imieniu Gminy warunków do projektowania i  uzgodnień branżowych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materiałów i wniosku z  załącznikami                                           w celu  uzyskania w imieniu Gminy  </w:t>
            </w:r>
            <w:r w:rsidRPr="00CD7775">
              <w:rPr>
                <w:b/>
                <w:bCs/>
                <w:color w:val="auto"/>
                <w:sz w:val="20"/>
              </w:rPr>
              <w:t>decyzji o warunkach zabudowy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/>
                <w:bCs/>
                <w:color w:val="auto"/>
                <w:sz w:val="20"/>
              </w:rPr>
              <w:t>do 10 dni</w:t>
            </w:r>
            <w:r w:rsidRPr="00CD7775">
              <w:rPr>
                <w:bCs/>
                <w:color w:val="auto"/>
                <w:sz w:val="20"/>
              </w:rPr>
              <w:t xml:space="preserve"> od uzyskania powyższych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4.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operatu wodnoprawnego 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 egz.</w:t>
            </w:r>
          </w:p>
        </w:tc>
        <w:tc>
          <w:tcPr>
            <w:tcW w:w="1683" w:type="dxa"/>
            <w:vMerge w:val="restart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do 15</w:t>
            </w:r>
            <w:r w:rsidRPr="00CD7775">
              <w:rPr>
                <w:b/>
                <w:bCs/>
                <w:color w:val="auto"/>
                <w:sz w:val="20"/>
              </w:rPr>
              <w:t xml:space="preserve"> dni</w:t>
            </w:r>
            <w:r w:rsidRPr="00CD7775">
              <w:rPr>
                <w:bCs/>
                <w:color w:val="auto"/>
                <w:sz w:val="20"/>
              </w:rPr>
              <w:t xml:space="preserve"> od uzyskania </w:t>
            </w:r>
          </w:p>
          <w:p w:rsidR="000B3BE2" w:rsidRPr="00CD7775" w:rsidRDefault="000B3BE2" w:rsidP="00061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75">
              <w:rPr>
                <w:rFonts w:ascii="Times New Roman" w:hAnsi="Times New Roman"/>
                <w:sz w:val="20"/>
                <w:szCs w:val="20"/>
              </w:rPr>
              <w:t>ostatecznej decyzji o warunkach zabudowy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5.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wniosku wraz z załącznikami w celu uzyskania pozwolenia wodnoprawnego 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6.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Opracowanie projektu budowlanego i kompletnego wniosku z załącznikami w celu uzyskania w imieniu Gminy pozwolenia na budowę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5 egz.</w:t>
            </w:r>
          </w:p>
        </w:tc>
        <w:tc>
          <w:tcPr>
            <w:tcW w:w="1683" w:type="dxa"/>
            <w:vAlign w:val="center"/>
          </w:tcPr>
          <w:p w:rsidR="000B3BE2" w:rsidRPr="00CD7775" w:rsidRDefault="000B3BE2" w:rsidP="00061C70">
            <w:pPr>
              <w:jc w:val="center"/>
              <w:rPr>
                <w:bCs/>
                <w:sz w:val="20"/>
              </w:rPr>
            </w:pPr>
            <w:r w:rsidRPr="00CD7775">
              <w:rPr>
                <w:rFonts w:ascii="Times New Roman" w:hAnsi="Times New Roman"/>
                <w:b/>
                <w:sz w:val="20"/>
                <w:szCs w:val="20"/>
              </w:rPr>
              <w:t xml:space="preserve">do 15 dni </w:t>
            </w:r>
            <w:r w:rsidRPr="00CD7775">
              <w:rPr>
                <w:rFonts w:ascii="Times New Roman" w:hAnsi="Times New Roman"/>
                <w:sz w:val="20"/>
                <w:szCs w:val="20"/>
              </w:rPr>
              <w:t xml:space="preserve">  od uzyskania ostatecznej decyzji pozwolenia wodnoprawnego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7.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  <w:lang w:eastAsia="en-US"/>
              </w:rPr>
              <w:t xml:space="preserve">Opracowanie projektu wykonawczego 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 w:val="restart"/>
            <w:vAlign w:val="center"/>
          </w:tcPr>
          <w:p w:rsidR="000B3BE2" w:rsidRPr="00CD7775" w:rsidRDefault="000B3BE2" w:rsidP="00061C70">
            <w:pPr>
              <w:pStyle w:val="Tekstpodstawowy"/>
              <w:autoSpaceDN w:val="0"/>
              <w:jc w:val="center"/>
              <w:rPr>
                <w:bCs/>
                <w:color w:val="auto"/>
                <w:sz w:val="20"/>
                <w:lang w:eastAsia="en-US"/>
              </w:rPr>
            </w:pPr>
            <w:r w:rsidRPr="00CD7775">
              <w:rPr>
                <w:b/>
                <w:color w:val="auto"/>
                <w:sz w:val="20"/>
                <w:lang w:eastAsia="en-US"/>
              </w:rPr>
              <w:t xml:space="preserve">do 14 dni </w:t>
            </w:r>
            <w:r w:rsidRPr="00CD7775">
              <w:rPr>
                <w:color w:val="auto"/>
                <w:sz w:val="20"/>
                <w:lang w:eastAsia="en-US"/>
              </w:rPr>
              <w:t xml:space="preserve">  od dnia  uzyskania</w:t>
            </w:r>
          </w:p>
          <w:p w:rsidR="000B3BE2" w:rsidRPr="00CD7775" w:rsidRDefault="000B3BE2" w:rsidP="00061C70">
            <w:pPr>
              <w:pStyle w:val="Tekstpodstawowy"/>
              <w:widowControl/>
              <w:autoSpaceDN w:val="0"/>
              <w:jc w:val="center"/>
              <w:rPr>
                <w:bCs/>
                <w:color w:val="auto"/>
                <w:sz w:val="20"/>
                <w:lang w:eastAsia="en-US"/>
              </w:rPr>
            </w:pPr>
            <w:r w:rsidRPr="00CD7775">
              <w:rPr>
                <w:color w:val="auto"/>
                <w:sz w:val="20"/>
                <w:lang w:eastAsia="en-US"/>
              </w:rPr>
              <w:t>ostatecznej decyzji pozwolenia na budowę</w:t>
            </w:r>
          </w:p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8.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  <w:lang w:eastAsia="en-US"/>
              </w:rPr>
              <w:t>Opracowanie przedmiaru robót budowalnych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9.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>Opracowanie specyfikacji technicznej wykonania  i odbioru robót budowlanych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10.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 xml:space="preserve">Opracowanie kosztorysu inwestorskiego  wersji scalonej   i szczegółowej z tabelą elementów scalonych i zestawieniami (Robocizny, Materiałów i Sprzętu), opracowany </w:t>
            </w:r>
            <w:r w:rsidRPr="00CD7775">
              <w:rPr>
                <w:color w:val="auto"/>
                <w:spacing w:val="1"/>
                <w:sz w:val="20"/>
              </w:rPr>
              <w:t>dla wszystkich branż                         w jednym programie kosztorysowym.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70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11.</w:t>
            </w:r>
          </w:p>
        </w:tc>
        <w:tc>
          <w:tcPr>
            <w:tcW w:w="2593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rPr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 xml:space="preserve">Opracowanie wersji elektronicznej zamówienia i  nagranie na  nośniku elektronicznym w plikach pdf  i </w:t>
            </w:r>
            <w:proofErr w:type="spellStart"/>
            <w:r w:rsidRPr="00CD7775">
              <w:rPr>
                <w:color w:val="auto"/>
                <w:sz w:val="20"/>
              </w:rPr>
              <w:t>word</w:t>
            </w:r>
            <w:proofErr w:type="spellEnd"/>
            <w:r w:rsidRPr="00CD7775">
              <w:rPr>
                <w:color w:val="auto"/>
                <w:sz w:val="20"/>
              </w:rPr>
              <w:t xml:space="preserve"> (wnioski i opisy)  + skan mapy do celów projektowych w pdf i </w:t>
            </w:r>
            <w:proofErr w:type="spellStart"/>
            <w:r w:rsidRPr="00CD7775">
              <w:rPr>
                <w:color w:val="auto"/>
                <w:sz w:val="20"/>
              </w:rPr>
              <w:t>dxf</w:t>
            </w:r>
            <w:proofErr w:type="spellEnd"/>
            <w:r w:rsidRPr="00CD7775">
              <w:rPr>
                <w:color w:val="auto"/>
                <w:sz w:val="20"/>
              </w:rPr>
              <w:t xml:space="preserve">  </w:t>
            </w:r>
            <w:r w:rsidRPr="00CD7775">
              <w:rPr>
                <w:color w:val="auto"/>
                <w:sz w:val="20"/>
              </w:rPr>
              <w:lastRenderedPageBreak/>
              <w:t>oraz spis/wykaz kolejno nagranych plików i folderów (przy odbiorze zamówienia należy przekazać Zamawiającemu podpisany przez Wykonawcę wykaz plików i folderów w wersji papierowej oraz dołączyć wymagane  oświadczenia).</w:t>
            </w:r>
          </w:p>
        </w:tc>
        <w:tc>
          <w:tcPr>
            <w:tcW w:w="69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lastRenderedPageBreak/>
              <w:t>1 egz.</w:t>
            </w:r>
          </w:p>
        </w:tc>
        <w:tc>
          <w:tcPr>
            <w:tcW w:w="1683" w:type="dxa"/>
            <w:vMerge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0B3BE2" w:rsidRPr="00CD7775" w:rsidTr="00061C70">
        <w:trPr>
          <w:trHeight w:val="567"/>
        </w:trPr>
        <w:tc>
          <w:tcPr>
            <w:tcW w:w="5542" w:type="dxa"/>
            <w:gridSpan w:val="4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Razem wynagrodzenie:</w:t>
            </w:r>
          </w:p>
        </w:tc>
        <w:tc>
          <w:tcPr>
            <w:tcW w:w="1227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:rsidR="000B3BE2" w:rsidRPr="00CD7775" w:rsidRDefault="000B3BE2" w:rsidP="00061C70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bookmarkEnd w:id="0"/>
    </w:tbl>
    <w:p w:rsidR="000B3BE2" w:rsidRPr="00CD7775" w:rsidRDefault="000B3BE2" w:rsidP="000B3BE2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UWAGI : </w:t>
      </w:r>
    </w:p>
    <w:p w:rsidR="000B3BE2" w:rsidRPr="00CD7775" w:rsidRDefault="000B3BE2" w:rsidP="000B3B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Wybrany w drodze zamówienia wykonawca składa przed podpisaniem umowy uzgodniony </w:t>
      </w:r>
      <w:r w:rsidRPr="00CD7775">
        <w:rPr>
          <w:rFonts w:ascii="Times New Roman" w:hAnsi="Times New Roman"/>
          <w:i/>
        </w:rPr>
        <w:br/>
        <w:t>z Zamawiającym wypełniony TOP – kolumny 5 – 7.</w:t>
      </w:r>
    </w:p>
    <w:p w:rsidR="000B3BE2" w:rsidRPr="00CD7775" w:rsidRDefault="000B3BE2" w:rsidP="000B3B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W przypadku nie wykonania któregoś opracowania wynagrodzenie przysługujące Wykonawcy zostanie stosownie pomniejszone zgodnie z TOP.</w:t>
      </w:r>
    </w:p>
    <w:p w:rsidR="000B3BE2" w:rsidRPr="00CD7775" w:rsidRDefault="000B3BE2" w:rsidP="000B3B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Zamawiający ustala udział procentowy kosztów opracowań projektowych:</w:t>
      </w:r>
    </w:p>
    <w:p w:rsidR="000B3BE2" w:rsidRPr="00CD7775" w:rsidRDefault="000B3BE2" w:rsidP="000B3BE2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poz. 1-3 – max do 10 % wartości kosztów opracowań projektowych</w:t>
      </w:r>
    </w:p>
    <w:p w:rsidR="000B3BE2" w:rsidRPr="00CD7775" w:rsidRDefault="000B3BE2" w:rsidP="000B3BE2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poz. 6- max do 40 % wartości kosztów opracowań projektowych</w:t>
      </w:r>
    </w:p>
    <w:p w:rsidR="000B3BE2" w:rsidRPr="00CD7775" w:rsidRDefault="000B3BE2" w:rsidP="000B3BE2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poz. 7- max do 40 % wartości kosztów opracowań projektowych</w:t>
      </w:r>
    </w:p>
    <w:p w:rsidR="000B3BE2" w:rsidRPr="00CD7775" w:rsidRDefault="000B3BE2" w:rsidP="000B3B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Przy ustalaniu terminu wykonania umowy do: </w:t>
      </w:r>
      <w:r w:rsidRPr="00CD7775">
        <w:rPr>
          <w:rFonts w:ascii="Times New Roman" w:hAnsi="Times New Roman"/>
          <w:b/>
          <w:i/>
        </w:rPr>
        <w:t>326 dni</w:t>
      </w:r>
      <w:r w:rsidRPr="00CD7775">
        <w:rPr>
          <w:rFonts w:ascii="Times New Roman" w:hAnsi="Times New Roman"/>
          <w:i/>
        </w:rPr>
        <w:t xml:space="preserve"> od dnia podpisania umowy przez Strony, wzięto pod uwagę ustawowe terminy na wydanie:</w:t>
      </w:r>
    </w:p>
    <w:p w:rsidR="000B3BE2" w:rsidRPr="00CD7775" w:rsidRDefault="000B3BE2" w:rsidP="000B3BE2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decyzji administracyjnych do 90 dni od dnia złożenia wniosku (decyzji o warunkach zabudowy)</w:t>
      </w:r>
    </w:p>
    <w:p w:rsidR="000B3BE2" w:rsidRPr="00CD7775" w:rsidRDefault="000B3BE2" w:rsidP="000B3BE2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decyzji administracyjnych do 65 dni (decyzji pozwolenia na budowę)</w:t>
      </w:r>
    </w:p>
    <w:p w:rsidR="000B3BE2" w:rsidRPr="00CD7775" w:rsidRDefault="000B3BE2" w:rsidP="000B3BE2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- innych decyzji, uzgodnień, warunków, opinii, pozwoleń i odpowiedzi - do 30 dni od złożenia wniosku </w:t>
      </w:r>
    </w:p>
    <w:p w:rsidR="000B3BE2" w:rsidRPr="00CD7775" w:rsidRDefault="000B3BE2" w:rsidP="000B3BE2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 uzyskanie ostateczności wydanych decyzji - do 14 dni.</w:t>
      </w: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3BE2" w:rsidRPr="00CD7775" w:rsidRDefault="000B3BE2" w:rsidP="000B3BE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b/>
          <w:sz w:val="24"/>
          <w:szCs w:val="24"/>
        </w:rPr>
        <w:t xml:space="preserve">     ZAMAWIAJĄCY:</w:t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  <w:t xml:space="preserve">  WYKONAWCA</w:t>
      </w:r>
      <w:r w:rsidRPr="00CD7775">
        <w:rPr>
          <w:rFonts w:ascii="Times New Roman" w:hAnsi="Times New Roman"/>
          <w:sz w:val="24"/>
          <w:szCs w:val="24"/>
        </w:rPr>
        <w:t xml:space="preserve">:    </w:t>
      </w: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BE2" w:rsidRPr="00CD7775" w:rsidRDefault="000B3BE2" w:rsidP="000B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BE2" w:rsidRPr="00CD7775" w:rsidRDefault="000B3BE2" w:rsidP="000B3BE2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……………………………...</w:t>
      </w:r>
      <w:r w:rsidRPr="00CD7775">
        <w:rPr>
          <w:rFonts w:ascii="Times New Roman" w:hAnsi="Times New Roman"/>
          <w:sz w:val="24"/>
          <w:szCs w:val="24"/>
        </w:rPr>
        <w:tab/>
      </w:r>
      <w:r w:rsidRPr="00CD7775">
        <w:rPr>
          <w:rFonts w:ascii="Times New Roman" w:hAnsi="Times New Roman"/>
          <w:sz w:val="24"/>
          <w:szCs w:val="24"/>
        </w:rPr>
        <w:tab/>
      </w:r>
      <w:r w:rsidRPr="00CD7775">
        <w:rPr>
          <w:rFonts w:ascii="Times New Roman" w:hAnsi="Times New Roman"/>
          <w:sz w:val="24"/>
          <w:szCs w:val="24"/>
        </w:rPr>
        <w:tab/>
        <w:t xml:space="preserve">   ……………..…………………….</w:t>
      </w: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0B3BE2" w:rsidRPr="00CD7775" w:rsidRDefault="000B3BE2" w:rsidP="000B3BE2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:rsidR="00B22F79" w:rsidRDefault="00B22F79">
      <w:bookmarkStart w:id="1" w:name="_GoBack"/>
      <w:bookmarkEnd w:id="1"/>
    </w:p>
    <w:sectPr w:rsidR="00B2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B4199"/>
    <w:multiLevelType w:val="hybridMultilevel"/>
    <w:tmpl w:val="F6E68534"/>
    <w:lvl w:ilvl="0" w:tplc="0C3EE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E2"/>
    <w:rsid w:val="000B3BE2"/>
    <w:rsid w:val="00B2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572F"/>
  <w15:chartTrackingRefBased/>
  <w15:docId w15:val="{BAA152D6-230E-41DB-BE37-9AE5ED1C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BE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"/>
    <w:basedOn w:val="Normalny"/>
    <w:link w:val="TekstpodstawowyZnak"/>
    <w:rsid w:val="000B3BE2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0B3BE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B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Salamonowicz</dc:creator>
  <cp:keywords/>
  <dc:description/>
  <cp:lastModifiedBy>Alicja Salamonowicz</cp:lastModifiedBy>
  <cp:revision>1</cp:revision>
  <dcterms:created xsi:type="dcterms:W3CDTF">2025-02-03T11:17:00Z</dcterms:created>
  <dcterms:modified xsi:type="dcterms:W3CDTF">2025-02-03T11:17:00Z</dcterms:modified>
</cp:coreProperties>
</file>